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Language Design Proposal: ScalellScript Non-Inferred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Student Name(s):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Kyle Dewey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Name: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ScalellScript Non-Inferred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Target Language: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JavaScript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Description: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has a Scala-like syntax (</w: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"https://www.scala-lang.org/"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</w:rPr>
        <w:t>https://www.scala-lang.org/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), but with a feature set that somewhat resembles Haskell (</w: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"https://www.haskell.org/"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  <w:lang w:val="en-US"/>
        </w:rPr>
        <w:t>https://www.haskell.org/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).  Like Scala, it has mutable state and eager evaluation.  Like Haskell, it has algebraic data types. Given the high-level target, this is primarily an exploration of typechecking.  Compared to the Inferred version, this version emphasizes a much cleaner syntax, in exchange for removing type inference.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Key Features: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Type variables / generics, algebraic data types, pattern matching with exhaustivity checking, mutable and immutable variables, higher-order functions, syntax NOT based on S-expressions.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Planned Restrictions: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there is no type inference, hindering practical usage.  There are no optimizations.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Suggested Scoring and Justification: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Lexer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10%.  Only support for reserved words, identifiers, and integers.  No comments.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Parser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20%.  Doesn't use S-expressions.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Typechecker: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55%. Higher-order functions, generics, algebraic data types, exhaustivity checking on pattern matching.  Typechecker needs to distinguish between call-like structures.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Code Generator: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15%. Mostly one-to-one with JS.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Concrete Syntax: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an identifier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var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variable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fn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named function name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algname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an algebraic datatype name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consname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constructor name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typevar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type variable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an integer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comma_type_nonempty ::= </w:t>
      </w:r>
      <w:r>
        <w:rPr>
          <w:rFonts w:ascii="Courier New" w:hAnsi="Courier New"/>
          <w:sz w:val="24"/>
          <w:szCs w:val="24"/>
          <w:rtl w:val="0"/>
          <w:lang w:val="en-US"/>
        </w:rPr>
        <w:t>type (`,` type)*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comma_type ::= [comma_type_nonempty]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type_instantiation ::= [`&lt;` comma_type_nonempty `&gt;` ]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type ::=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`Int` | `Unit` | `Boolean`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Built-in types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typevar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Type variable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algname type_instantiation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Generic algebraic type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Functions and parenthesized types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comma_type `)` (`=&gt;` type)*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param ::= var `:` type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comma_param ::= [param (`,` param)*]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comma_exp ::= [exp (`,` exp)*]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primary_exp ::=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id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Could represent var, fn, or consname.  Only the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typechecker can disambiguate.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i | `true` | `false`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Integers and booleans 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`unit`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Expression that creates a value of type Unit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`(`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Parenthesized expression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`println` `(` exp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Prints something to the console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`(` comma_param `)` `=&gt;` exp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Creates a higher-order function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`{` stmt* exp `}`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Blocks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`match`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exp `{` case+ `}`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Pattern matching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call_exp ::= primary_exp (type_instantiation `(` comma_exp `)`)*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mult_exp ::= call_exp ((`*` | `/`) call_exp)*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add_exp ::= mult_exp ((`+` | `-`) mult_exp)*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less_than_exp ::= add_exp [`&lt;` add_exp]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equals_exp ::= less_than_exp [`==` less_than_exp]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exp ::= equals_exp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stmt ::= `val` param `=` exp `;`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Immutable variable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initialization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`var` param `=` exp `;`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Mutable variable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initialization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 `=` exp `;`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Mutable variable assignment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case ::= `case` pattern `=&gt;` exp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comma_pattern_nonempty ::= </w:t>
      </w:r>
      <w:r>
        <w:rPr>
          <w:rFonts w:ascii="Courier New" w:hAnsi="Courier New"/>
          <w:sz w:val="24"/>
          <w:szCs w:val="24"/>
          <w:rtl w:val="0"/>
          <w:lang w:val="en-US"/>
        </w:rPr>
        <w:t>pattern (`,` pattern)*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comma_pattern ::= [comma_pattern_nonempty]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pattern ::= x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Introduces a new variable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>`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_`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Matches everything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Matches constructor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consname `(` comma_pattern `)`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comma_typevar ::= typevar (`,` typevar)*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Constructor definition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consdef ::= consname `(` comma_type `)`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comma_consdef ::= consdef (`,` consdef)*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Algebraic datatype definition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algdef ::= `algdef` algname [`&lt;` comma_typevar `&gt;`]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`{` comma_consdef`}`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 definition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funcdef ::= `def` fn [`&lt;` comma_typevar `&gt;`] `(` comma_param `)`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`:` type `=` exp `;`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program ::= algdef* funcdef* exp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Expression is the entry point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Example (functions on generic lists):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algdef List&lt;A&gt;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Cons(A, List&lt;A&gt;),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Nil()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def map&lt;A, B&gt;(list: List&lt;A&gt;, f: (A) =&gt; B): List&lt;B&gt; =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match list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case Cons(head, tail) =&gt; Cons(f(head), map&lt;A, B&gt;(tail, f))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case Nil =&gt; Nil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def length&lt;A&gt;(list: List&lt;A&gt;): Int =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match list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case Cons(_, tail) =&gt; 1 + length&lt;A&gt;(tail)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case Nil() =&gt; Nil()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</w:pPr>
      <w:r>
        <w:rPr>
          <w:rFonts w:ascii="Courier New" w:hAnsi="Courier New"/>
          <w:sz w:val="24"/>
          <w:szCs w:val="24"/>
          <w:rtl w:val="0"/>
          <w:lang w:val="en-US"/>
        </w:rPr>
        <w:t>map&lt;Int, Int&gt;(Cons&lt;Int&gt;(1, Nil&lt;Int&gt;()), (x: Int) =&gt; x + 1)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